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5AFA" w14:textId="77777777" w:rsidR="00F43F5B" w:rsidRPr="001250A6" w:rsidRDefault="001D4110">
      <w:pPr>
        <w:pStyle w:val="ad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 w:themeColor="text1"/>
          <w:kern w:val="0"/>
          <w:sz w:val="36"/>
          <w:szCs w:val="20"/>
        </w:rPr>
      </w:pPr>
      <w:r w:rsidRPr="001250A6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上海应用技术大学</w:t>
      </w:r>
    </w:p>
    <w:p w14:paraId="33ACF745" w14:textId="77777777" w:rsidR="00F43F5B" w:rsidRPr="001250A6" w:rsidRDefault="001D4110">
      <w:pPr>
        <w:pStyle w:val="ad"/>
        <w:widowControl/>
        <w:spacing w:line="360" w:lineRule="auto"/>
        <w:ind w:leftChars="200" w:left="440" w:firstLineChars="0" w:firstLine="0"/>
        <w:jc w:val="center"/>
        <w:rPr>
          <w:rFonts w:eastAsia="黑体" w:hAnsi="宋体" w:cs="宋体"/>
          <w:color w:val="000000" w:themeColor="text1"/>
          <w:kern w:val="0"/>
          <w:sz w:val="36"/>
          <w:szCs w:val="20"/>
        </w:rPr>
      </w:pPr>
      <w:r w:rsidRPr="001250A6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通信工程（轨道通号技术）专业</w:t>
      </w:r>
    </w:p>
    <w:p w14:paraId="0D96F2BA" w14:textId="77777777" w:rsidR="00F43F5B" w:rsidRPr="001250A6" w:rsidRDefault="001D4110">
      <w:pPr>
        <w:pStyle w:val="ad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 w:themeColor="text1"/>
          <w:kern w:val="0"/>
          <w:sz w:val="36"/>
          <w:szCs w:val="20"/>
        </w:rPr>
      </w:pPr>
      <w:r w:rsidRPr="001250A6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《</w:t>
      </w:r>
      <w:r w:rsidRPr="001250A6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技能水平测试—专业技能基础</w:t>
      </w:r>
      <w:r w:rsidRPr="001250A6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》考试大纲</w:t>
      </w:r>
    </w:p>
    <w:p w14:paraId="72EA892F" w14:textId="77777777" w:rsidR="00F43F5B" w:rsidRPr="001250A6" w:rsidRDefault="00F43F5B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color w:val="000000" w:themeColor="text1"/>
          <w:sz w:val="21"/>
          <w:szCs w:val="21"/>
        </w:rPr>
      </w:pPr>
    </w:p>
    <w:p w14:paraId="2A9DB215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b/>
          <w:bCs/>
          <w:color w:val="000000" w:themeColor="text1"/>
          <w:sz w:val="24"/>
          <w:szCs w:val="24"/>
        </w:rPr>
        <w:t>一、考试性质</w:t>
      </w:r>
    </w:p>
    <w:p w14:paraId="7EC59994" w14:textId="20372BB1" w:rsidR="00F43F5B" w:rsidRPr="001250A6" w:rsidRDefault="001D4110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《技能水平测试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—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专业技能基础》考试大纲仅适用于上海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市公用事业学校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202</w:t>
      </w:r>
      <w:r w:rsidR="001250A6"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4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年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通信工程（轨道通号技术中本贯通）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转段考试的学生。主要检验学生对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轨道通号技术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相关的专业核心课程重点知识的掌握情况，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包括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基本概念、基本原理、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基本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性能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和相关规范等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。</w:t>
      </w:r>
    </w:p>
    <w:p w14:paraId="7DA1CDAE" w14:textId="77777777" w:rsidR="00F43F5B" w:rsidRPr="001250A6" w:rsidRDefault="00F43F5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435C836C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b/>
          <w:bCs/>
          <w:color w:val="000000" w:themeColor="text1"/>
          <w:sz w:val="24"/>
          <w:szCs w:val="24"/>
        </w:rPr>
        <w:t>二、考试要求</w:t>
      </w:r>
      <w:bookmarkStart w:id="0" w:name="_GoBack"/>
      <w:bookmarkEnd w:id="0"/>
    </w:p>
    <w:p w14:paraId="4F2A9FC6" w14:textId="77777777" w:rsidR="00F43F5B" w:rsidRPr="001250A6" w:rsidRDefault="001D4110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1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、本考试主要内容包括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电工电子基础知识、信号基础知识、列车运行控制知识、轨道交通安全管理四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个知识模块，检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验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学生是否具备以下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知识与技能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：</w:t>
      </w:r>
    </w:p>
    <w:p w14:paraId="31404B18" w14:textId="77777777" w:rsidR="00F43F5B" w:rsidRPr="001250A6" w:rsidRDefault="001D4110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（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1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）掌握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基础的模电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/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数电知识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。</w:t>
      </w:r>
    </w:p>
    <w:p w14:paraId="0A8D9B3C" w14:textId="77777777" w:rsidR="00F43F5B" w:rsidRPr="001250A6" w:rsidRDefault="001D4110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（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2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）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掌握轨道信号基础设备的组成及功能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。</w:t>
      </w:r>
    </w:p>
    <w:p w14:paraId="7588F328" w14:textId="77777777" w:rsidR="00F43F5B" w:rsidRPr="001250A6" w:rsidRDefault="001D4110">
      <w:pPr>
        <w:spacing w:after="0" w:line="36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（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3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）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掌握列车运行自动控制系统的组成及相关设备。</w:t>
      </w:r>
    </w:p>
    <w:p w14:paraId="21E545BC" w14:textId="77777777" w:rsidR="00F43F5B" w:rsidRPr="001250A6" w:rsidRDefault="001D4110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（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4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）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了解轨道交通安全管理涉及到设备及安全原则。</w:t>
      </w:r>
    </w:p>
    <w:p w14:paraId="73B10F0A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2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、考试采用闭卷笔试形式，考试时间为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120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分钟。</w:t>
      </w:r>
    </w:p>
    <w:p w14:paraId="6A9AF95A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3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、试卷满分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180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分。</w:t>
      </w:r>
    </w:p>
    <w:p w14:paraId="565CE250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4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、试题类型</w:t>
      </w:r>
    </w:p>
    <w:p w14:paraId="4462F120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（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1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）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选择题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：约占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40%</w:t>
      </w:r>
    </w:p>
    <w:p w14:paraId="22C93F34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（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2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）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问答题：约占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40%</w:t>
      </w:r>
    </w:p>
    <w:p w14:paraId="1D8A7AEB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（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3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）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计算题：约占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20%</w:t>
      </w:r>
    </w:p>
    <w:p w14:paraId="649A58B8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5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、考试内容所占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分值（约）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见下表：</w:t>
      </w:r>
    </w:p>
    <w:tbl>
      <w:tblPr>
        <w:tblW w:w="41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3"/>
        <w:gridCol w:w="1384"/>
        <w:gridCol w:w="1382"/>
        <w:gridCol w:w="1382"/>
      </w:tblGrid>
      <w:tr w:rsidR="001250A6" w:rsidRPr="001250A6" w14:paraId="333782E5" w14:textId="77777777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104A7266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考试内容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13136795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电工电子基础知识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97F44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轨道信号基础知识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44020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列车运行自控技术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6DECDF18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轨道交通安全管理</w:t>
            </w:r>
          </w:p>
        </w:tc>
      </w:tr>
      <w:tr w:rsidR="001250A6" w:rsidRPr="001250A6" w14:paraId="1FE6515B" w14:textId="77777777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73A569AC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所</w:t>
            </w:r>
            <w:r w:rsidRPr="001250A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占</w:t>
            </w: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2BD3ED90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D6D5F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9E154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15F62B42" w14:textId="77777777" w:rsidR="00F43F5B" w:rsidRPr="001250A6" w:rsidRDefault="001D4110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250A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61CBC362" w14:textId="77777777" w:rsidR="00F43F5B" w:rsidRPr="001250A6" w:rsidRDefault="00F43F5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611370B3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b/>
          <w:bCs/>
          <w:color w:val="000000" w:themeColor="text1"/>
          <w:sz w:val="24"/>
          <w:szCs w:val="24"/>
        </w:rPr>
        <w:lastRenderedPageBreak/>
        <w:t>三、考试内容</w:t>
      </w:r>
    </w:p>
    <w:p w14:paraId="41D764A9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</w:rPr>
        <w:t>（一）</w:t>
      </w:r>
      <w:r w:rsidRPr="001250A6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</w:rPr>
        <w:t>电工电子基础知识</w:t>
      </w:r>
    </w:p>
    <w:p w14:paraId="7F3D74DE" w14:textId="77777777" w:rsidR="00F43F5B" w:rsidRPr="001250A6" w:rsidRDefault="001D4110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电工技术基础知识</w:t>
      </w:r>
    </w:p>
    <w:p w14:paraId="73B961CE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电压电流的参考方向及关联参考方向</w:t>
      </w:r>
    </w:p>
    <w:p w14:paraId="29EA111A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关联参考方向在欧姆定律和功率中的应用</w:t>
      </w:r>
    </w:p>
    <w:p w14:paraId="139ED044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电阻的混联及简化电路</w:t>
      </w:r>
    </w:p>
    <w:p w14:paraId="4EA86E8F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电压源和电流源的等效变换</w:t>
      </w:r>
    </w:p>
    <w:p w14:paraId="2EA64415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基尔霍夫电流定律和电压定律</w:t>
      </w:r>
    </w:p>
    <w:p w14:paraId="3B8EB531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戴维宁定理</w:t>
      </w:r>
    </w:p>
    <w:p w14:paraId="6CC9F14A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交流电的三要素</w:t>
      </w:r>
    </w:p>
    <w:p w14:paraId="1A3A9195" w14:textId="77777777" w:rsidR="00F43F5B" w:rsidRPr="001250A6" w:rsidRDefault="001D4110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单一参数的正弦交流电路（纯电阻</w:t>
      </w: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/</w:t>
      </w: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电容</w:t>
      </w: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/</w:t>
      </w: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电感电路）</w:t>
      </w:r>
    </w:p>
    <w:p w14:paraId="53EFB19B" w14:textId="77777777" w:rsidR="00F43F5B" w:rsidRPr="001250A6" w:rsidRDefault="001D4110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电子技术基础知识</w:t>
      </w:r>
    </w:p>
    <w:p w14:paraId="2D7D7528" w14:textId="77777777" w:rsidR="00F43F5B" w:rsidRPr="001250A6" w:rsidRDefault="001D4110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PN</w:t>
      </w: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结的单向导电性</w:t>
      </w:r>
    </w:p>
    <w:p w14:paraId="41043DF2" w14:textId="77777777" w:rsidR="00F43F5B" w:rsidRPr="001250A6" w:rsidRDefault="001D4110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半导体二极管</w:t>
      </w:r>
    </w:p>
    <w:p w14:paraId="5AC95284" w14:textId="77777777" w:rsidR="00F43F5B" w:rsidRPr="001250A6" w:rsidRDefault="001D4110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稳压二极管</w:t>
      </w:r>
    </w:p>
    <w:p w14:paraId="786F777A" w14:textId="77777777" w:rsidR="00F43F5B" w:rsidRPr="001250A6" w:rsidRDefault="001D4110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放大电路基础（共射极放大电路和分压式偏置放大电路）</w:t>
      </w:r>
    </w:p>
    <w:p w14:paraId="6747883E" w14:textId="77777777" w:rsidR="00F43F5B" w:rsidRPr="001250A6" w:rsidRDefault="001D4110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集成运算放大器（加法器、减法器、电压跟随器、负反馈）</w:t>
      </w:r>
    </w:p>
    <w:p w14:paraId="3E42955B" w14:textId="77777777" w:rsidR="00F43F5B" w:rsidRPr="001250A6" w:rsidRDefault="001D4110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直流稳压电路（单相桥式整流电路，滤波电路）</w:t>
      </w:r>
    </w:p>
    <w:p w14:paraId="1B688DF1" w14:textId="77777777" w:rsidR="00F43F5B" w:rsidRPr="001250A6" w:rsidRDefault="001D4110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hAnsiTheme="minorEastAsia" w:hint="eastAsia"/>
          <w:color w:val="000000" w:themeColor="text1"/>
          <w:sz w:val="24"/>
          <w:szCs w:val="24"/>
        </w:rPr>
        <w:t>基本逻辑关系（逻辑代数）和基本逻辑门电路</w:t>
      </w:r>
    </w:p>
    <w:p w14:paraId="151A0DC7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</w:rPr>
        <w:t>（二）</w:t>
      </w:r>
      <w:r w:rsidRPr="001250A6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</w:rPr>
        <w:t>轨道信号基础知识</w:t>
      </w:r>
    </w:p>
    <w:p w14:paraId="238F39C0" w14:textId="77777777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安全型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信号继电器型号名称及含义</w:t>
      </w:r>
    </w:p>
    <w:p w14:paraId="48A745E7" w14:textId="77777777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无极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/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偏极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/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有极信号继电器的特点和</w:t>
      </w: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工作原理</w:t>
      </w:r>
    </w:p>
    <w:p w14:paraId="54318FE0" w14:textId="77777777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安全型信号继电器电路符号识读、常用电路连接方法及电路接通分析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（直流道岔控制电路分析）</w:t>
      </w:r>
    </w:p>
    <w:p w14:paraId="0C695FDE" w14:textId="77777777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城轨进出站信号机、进出段信号机的显示颜色及含义</w:t>
      </w:r>
    </w:p>
    <w:p w14:paraId="418F72CF" w14:textId="77777777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50Hz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相敏轨道电路的组成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部分及其工作状态</w:t>
      </w:r>
    </w:p>
    <w:p w14:paraId="37343AA7" w14:textId="579BCF52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计轴器的</w:t>
      </w:r>
      <w:r w:rsidR="003C193C"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结构组成与工作原理</w:t>
      </w:r>
    </w:p>
    <w:p w14:paraId="69BAEF22" w14:textId="77777777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上海地铁常用三种道岔转辙机的名称及基本作用</w:t>
      </w:r>
    </w:p>
    <w:p w14:paraId="4374DCB8" w14:textId="77777777" w:rsidR="00F43F5B" w:rsidRPr="001250A6" w:rsidRDefault="001D4110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ZD6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型、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ZD(J)9</w:t>
      </w: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电动转辙机的组成结构</w:t>
      </w:r>
    </w:p>
    <w:p w14:paraId="754451DD" w14:textId="77777777" w:rsidR="00F43F5B" w:rsidRPr="001250A6" w:rsidRDefault="001D4110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/>
          <w:bCs/>
          <w:color w:val="000000" w:themeColor="text1"/>
          <w:sz w:val="24"/>
          <w:szCs w:val="24"/>
        </w:rPr>
        <w:t>（三）列车运行自控技术</w:t>
      </w:r>
    </w:p>
    <w:p w14:paraId="59056F03" w14:textId="77777777" w:rsidR="00F43F5B" w:rsidRPr="001250A6" w:rsidRDefault="001D4110">
      <w:pPr>
        <w:numPr>
          <w:ilvl w:val="0"/>
          <w:numId w:val="5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lastRenderedPageBreak/>
        <w:t>列车运行控制系统基本认知</w:t>
      </w:r>
    </w:p>
    <w:p w14:paraId="4080BD4D" w14:textId="77777777" w:rsidR="00F43F5B" w:rsidRPr="001250A6" w:rsidRDefault="001D4110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CBTC</w:t>
      </w: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列车运行控制系统的组成</w:t>
      </w:r>
    </w:p>
    <w:p w14:paraId="25EB0C70" w14:textId="77777777" w:rsidR="00F43F5B" w:rsidRPr="001250A6" w:rsidRDefault="001D4110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常见自动闭塞制式的工作原理及其差异</w:t>
      </w:r>
    </w:p>
    <w:p w14:paraId="4548F9E2" w14:textId="77777777" w:rsidR="00F43F5B" w:rsidRPr="001250A6" w:rsidRDefault="001D4110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点式与连续式列车运行控制系统的工作原理</w:t>
      </w:r>
    </w:p>
    <w:p w14:paraId="1BA71ABC" w14:textId="77777777" w:rsidR="00F43F5B" w:rsidRPr="001250A6" w:rsidRDefault="001D4110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卡斯柯信号系统线路控制模式与调整模式</w:t>
      </w:r>
    </w:p>
    <w:p w14:paraId="74B96AA5" w14:textId="77777777" w:rsidR="00F43F5B" w:rsidRPr="001250A6" w:rsidRDefault="001D4110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列车三种驾驶模式</w:t>
      </w: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RM\ATPM\ATO</w:t>
      </w: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的使用条件及切换时机</w:t>
      </w:r>
    </w:p>
    <w:p w14:paraId="083D3FAB" w14:textId="77777777" w:rsidR="00F43F5B" w:rsidRPr="001250A6" w:rsidRDefault="001D4110">
      <w:pPr>
        <w:numPr>
          <w:ilvl w:val="0"/>
          <w:numId w:val="5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列车运行控制系统设备及功能</w:t>
      </w:r>
    </w:p>
    <w:p w14:paraId="30C04330" w14:textId="77777777" w:rsidR="00F43F5B" w:rsidRPr="001250A6" w:rsidRDefault="001D4110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轨旁、车载设备组成及各自的功能</w:t>
      </w:r>
    </w:p>
    <w:p w14:paraId="5ADE4787" w14:textId="77777777" w:rsidR="00F43F5B" w:rsidRPr="001250A6" w:rsidRDefault="001D4110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卡斯柯信号系统下</w:t>
      </w: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LC/ZC/CI</w:t>
      </w: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的不同控制范围差异</w:t>
      </w:r>
    </w:p>
    <w:p w14:paraId="1C6ADDA3" w14:textId="77777777" w:rsidR="00F43F5B" w:rsidRPr="001250A6" w:rsidRDefault="001D4110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信标应答器的种类及功能</w:t>
      </w:r>
    </w:p>
    <w:p w14:paraId="4AC576A7" w14:textId="77777777" w:rsidR="00F43F5B" w:rsidRPr="001250A6" w:rsidRDefault="001D4110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车载控制器</w:t>
      </w: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VOBC</w:t>
      </w:r>
      <w:r w:rsidRPr="001250A6">
        <w:rPr>
          <w:rFonts w:asciiTheme="minorEastAsia" w:eastAsiaTheme="minorEastAsia" w:hAnsiTheme="minorEastAsia" w:cs="Times New Roman" w:hint="eastAsia"/>
          <w:bCs/>
          <w:color w:val="000000" w:themeColor="text1"/>
          <w:sz w:val="24"/>
          <w:szCs w:val="24"/>
        </w:rPr>
        <w:t>的组成、工作原理</w:t>
      </w:r>
    </w:p>
    <w:p w14:paraId="1465C69A" w14:textId="77777777" w:rsidR="00F43F5B" w:rsidRPr="001250A6" w:rsidRDefault="001D41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b/>
          <w:bCs/>
          <w:color w:val="000000" w:themeColor="text1"/>
          <w:sz w:val="24"/>
          <w:szCs w:val="24"/>
        </w:rPr>
        <w:t>（四）轨道交通安全管理</w:t>
      </w:r>
    </w:p>
    <w:p w14:paraId="1F80C4EF" w14:textId="77777777" w:rsidR="00F43F5B" w:rsidRPr="001250A6" w:rsidRDefault="001D4110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事故的定义、分类、预防及处理方法</w:t>
      </w:r>
    </w:p>
    <w:p w14:paraId="2A0FC723" w14:textId="77777777" w:rsidR="00F43F5B" w:rsidRPr="001250A6" w:rsidRDefault="001D4110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车厢内设置的安全设施</w:t>
      </w:r>
    </w:p>
    <w:p w14:paraId="3A575A0A" w14:textId="77777777" w:rsidR="00F43F5B" w:rsidRPr="001250A6" w:rsidRDefault="001D4110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安全、消防、人员疏散导等标志</w:t>
      </w:r>
    </w:p>
    <w:p w14:paraId="442600AF" w14:textId="77777777" w:rsidR="00F43F5B" w:rsidRPr="001250A6" w:rsidRDefault="001D4110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车站常用消防、环控设备</w:t>
      </w:r>
    </w:p>
    <w:p w14:paraId="00F50542" w14:textId="77777777" w:rsidR="00F43F5B" w:rsidRPr="001250A6" w:rsidRDefault="001D4110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1250A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安全巡检及相关设备的日常维护保养</w:t>
      </w:r>
    </w:p>
    <w:p w14:paraId="52D7539F" w14:textId="77777777" w:rsidR="00F43F5B" w:rsidRPr="001250A6" w:rsidRDefault="00F43F5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</w:p>
    <w:p w14:paraId="29AFDFC5" w14:textId="77777777" w:rsidR="00F43F5B" w:rsidRPr="001250A6" w:rsidRDefault="00F43F5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color w:val="000000" w:themeColor="text1"/>
          <w:sz w:val="24"/>
          <w:szCs w:val="24"/>
        </w:rPr>
      </w:pPr>
    </w:p>
    <w:p w14:paraId="5B2841CF" w14:textId="77777777" w:rsidR="00F43F5B" w:rsidRPr="001250A6" w:rsidRDefault="00F43F5B">
      <w:pPr>
        <w:spacing w:line="360" w:lineRule="auto"/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</w:rPr>
      </w:pPr>
    </w:p>
    <w:p w14:paraId="327199B6" w14:textId="77777777" w:rsidR="00F43F5B" w:rsidRPr="001250A6" w:rsidRDefault="00F43F5B">
      <w:pPr>
        <w:spacing w:line="360" w:lineRule="auto"/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</w:rPr>
      </w:pPr>
    </w:p>
    <w:sectPr w:rsidR="00F43F5B" w:rsidRPr="00125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9551" w14:textId="77777777" w:rsidR="001D4110" w:rsidRDefault="001D4110">
      <w:pPr>
        <w:spacing w:after="0"/>
      </w:pPr>
      <w:r>
        <w:separator/>
      </w:r>
    </w:p>
  </w:endnote>
  <w:endnote w:type="continuationSeparator" w:id="0">
    <w:p w14:paraId="19EDD28A" w14:textId="77777777" w:rsidR="001D4110" w:rsidRDefault="001D4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FD75" w14:textId="77777777" w:rsidR="001D4110" w:rsidRDefault="001D4110">
      <w:pPr>
        <w:spacing w:after="0"/>
      </w:pPr>
      <w:r>
        <w:separator/>
      </w:r>
    </w:p>
  </w:footnote>
  <w:footnote w:type="continuationSeparator" w:id="0">
    <w:p w14:paraId="557AAB6E" w14:textId="77777777" w:rsidR="001D4110" w:rsidRDefault="001D41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33FB0"/>
    <w:multiLevelType w:val="singleLevel"/>
    <w:tmpl w:val="84633F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AB1B422"/>
    <w:multiLevelType w:val="singleLevel"/>
    <w:tmpl w:val="AAB1B42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AF94BB0E"/>
    <w:multiLevelType w:val="singleLevel"/>
    <w:tmpl w:val="AF94BB0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B1026D38"/>
    <w:multiLevelType w:val="singleLevel"/>
    <w:tmpl w:val="B1026D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B7C343C6"/>
    <w:multiLevelType w:val="singleLevel"/>
    <w:tmpl w:val="B7C343C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190F75B5"/>
    <w:multiLevelType w:val="singleLevel"/>
    <w:tmpl w:val="190F75B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1EFB5822"/>
    <w:multiLevelType w:val="singleLevel"/>
    <w:tmpl w:val="1EFB58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33D5FB6F"/>
    <w:multiLevelType w:val="singleLevel"/>
    <w:tmpl w:val="33D5FB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ODhjMDgyMjA3OGU0MDcyM2RiYjU1ZWM4MDVlNWYifQ=="/>
  </w:docVars>
  <w:rsids>
    <w:rsidRoot w:val="00D31D50"/>
    <w:rsid w:val="00012071"/>
    <w:rsid w:val="00067E03"/>
    <w:rsid w:val="00070F03"/>
    <w:rsid w:val="000713E8"/>
    <w:rsid w:val="0009042F"/>
    <w:rsid w:val="0009794D"/>
    <w:rsid w:val="000E5ABF"/>
    <w:rsid w:val="00124A33"/>
    <w:rsid w:val="001250A6"/>
    <w:rsid w:val="0014257F"/>
    <w:rsid w:val="001522CF"/>
    <w:rsid w:val="00161F74"/>
    <w:rsid w:val="001727DD"/>
    <w:rsid w:val="00180376"/>
    <w:rsid w:val="001C7D15"/>
    <w:rsid w:val="001D4110"/>
    <w:rsid w:val="00263788"/>
    <w:rsid w:val="002C2EB7"/>
    <w:rsid w:val="002F5A58"/>
    <w:rsid w:val="00323B43"/>
    <w:rsid w:val="00326A9A"/>
    <w:rsid w:val="00353BEE"/>
    <w:rsid w:val="00361027"/>
    <w:rsid w:val="00390CB2"/>
    <w:rsid w:val="00394A39"/>
    <w:rsid w:val="003B0D65"/>
    <w:rsid w:val="003C193C"/>
    <w:rsid w:val="003C2787"/>
    <w:rsid w:val="003D37D8"/>
    <w:rsid w:val="003E1A28"/>
    <w:rsid w:val="003E2CDF"/>
    <w:rsid w:val="003E3DF9"/>
    <w:rsid w:val="00426133"/>
    <w:rsid w:val="004358AB"/>
    <w:rsid w:val="00447713"/>
    <w:rsid w:val="00447800"/>
    <w:rsid w:val="0045212D"/>
    <w:rsid w:val="00453D35"/>
    <w:rsid w:val="004862FE"/>
    <w:rsid w:val="004A43C1"/>
    <w:rsid w:val="004B752F"/>
    <w:rsid w:val="004C0563"/>
    <w:rsid w:val="004E3D41"/>
    <w:rsid w:val="00507900"/>
    <w:rsid w:val="00511A36"/>
    <w:rsid w:val="005430CF"/>
    <w:rsid w:val="005435D8"/>
    <w:rsid w:val="005F4E61"/>
    <w:rsid w:val="00605842"/>
    <w:rsid w:val="0061299F"/>
    <w:rsid w:val="00637CA2"/>
    <w:rsid w:val="006464CD"/>
    <w:rsid w:val="0067127B"/>
    <w:rsid w:val="00674854"/>
    <w:rsid w:val="00707961"/>
    <w:rsid w:val="00824142"/>
    <w:rsid w:val="00826123"/>
    <w:rsid w:val="00832BC3"/>
    <w:rsid w:val="008362C5"/>
    <w:rsid w:val="008A26EA"/>
    <w:rsid w:val="008B7726"/>
    <w:rsid w:val="008E3BB6"/>
    <w:rsid w:val="0090382B"/>
    <w:rsid w:val="00921ECC"/>
    <w:rsid w:val="009514F1"/>
    <w:rsid w:val="00952532"/>
    <w:rsid w:val="0096447E"/>
    <w:rsid w:val="009720C4"/>
    <w:rsid w:val="009B0A0D"/>
    <w:rsid w:val="009C7FE1"/>
    <w:rsid w:val="009E5E09"/>
    <w:rsid w:val="009F37BC"/>
    <w:rsid w:val="00A27C33"/>
    <w:rsid w:val="00A30B2A"/>
    <w:rsid w:val="00A76F13"/>
    <w:rsid w:val="00A8337A"/>
    <w:rsid w:val="00A84BD0"/>
    <w:rsid w:val="00A90984"/>
    <w:rsid w:val="00A94AB7"/>
    <w:rsid w:val="00AA70F3"/>
    <w:rsid w:val="00B23AD1"/>
    <w:rsid w:val="00B70402"/>
    <w:rsid w:val="00B76A40"/>
    <w:rsid w:val="00B84518"/>
    <w:rsid w:val="00B90E10"/>
    <w:rsid w:val="00C175BA"/>
    <w:rsid w:val="00C20E57"/>
    <w:rsid w:val="00C32556"/>
    <w:rsid w:val="00C37E9F"/>
    <w:rsid w:val="00D17270"/>
    <w:rsid w:val="00D177CD"/>
    <w:rsid w:val="00D31D50"/>
    <w:rsid w:val="00D3574D"/>
    <w:rsid w:val="00D36D05"/>
    <w:rsid w:val="00D51327"/>
    <w:rsid w:val="00DB7011"/>
    <w:rsid w:val="00DC0E2E"/>
    <w:rsid w:val="00DE44F3"/>
    <w:rsid w:val="00E53AE8"/>
    <w:rsid w:val="00E651CC"/>
    <w:rsid w:val="00EB1B98"/>
    <w:rsid w:val="00EC3233"/>
    <w:rsid w:val="00EC7B5E"/>
    <w:rsid w:val="00ED1280"/>
    <w:rsid w:val="00F12058"/>
    <w:rsid w:val="00F1356B"/>
    <w:rsid w:val="00F17C5B"/>
    <w:rsid w:val="00F42EDD"/>
    <w:rsid w:val="00F43F5B"/>
    <w:rsid w:val="00F43F83"/>
    <w:rsid w:val="00F5121A"/>
    <w:rsid w:val="00F67779"/>
    <w:rsid w:val="00FB3A37"/>
    <w:rsid w:val="00FC292C"/>
    <w:rsid w:val="00FD784C"/>
    <w:rsid w:val="04BA0D63"/>
    <w:rsid w:val="07F33F28"/>
    <w:rsid w:val="0CD4165F"/>
    <w:rsid w:val="0E35586F"/>
    <w:rsid w:val="0E4D5CB6"/>
    <w:rsid w:val="10483CEC"/>
    <w:rsid w:val="16C238B2"/>
    <w:rsid w:val="1A11775E"/>
    <w:rsid w:val="1BF5434B"/>
    <w:rsid w:val="1CDB6DC1"/>
    <w:rsid w:val="1FE75938"/>
    <w:rsid w:val="2D8A1D78"/>
    <w:rsid w:val="347D510E"/>
    <w:rsid w:val="38565A9E"/>
    <w:rsid w:val="519B4F76"/>
    <w:rsid w:val="5A107D2F"/>
    <w:rsid w:val="64840802"/>
    <w:rsid w:val="698E123D"/>
    <w:rsid w:val="6CB55A40"/>
    <w:rsid w:val="74F06D7B"/>
    <w:rsid w:val="780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55E89"/>
  <w15:docId w15:val="{1BFA6887-6961-4D04-9A80-9E77B50B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qFormat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autoRedefine/>
    <w:uiPriority w:val="22"/>
    <w:qFormat/>
    <w:rPr>
      <w:b/>
      <w:bCs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ahoma" w:hAnsi="Tahoma"/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List Paragraph"/>
    <w:basedOn w:val="a"/>
    <w:autoRedefine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4">
    <w:name w:val="纯文本 字符"/>
    <w:basedOn w:val="a0"/>
    <w:link w:val="a3"/>
    <w:autoRedefine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蔡红军</dc:creator>
  <cp:lastModifiedBy>user</cp:lastModifiedBy>
  <cp:revision>8</cp:revision>
  <dcterms:created xsi:type="dcterms:W3CDTF">2024-03-21T00:20:00Z</dcterms:created>
  <dcterms:modified xsi:type="dcterms:W3CDTF">2024-03-27T07:11:00Z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543AC8DF7199485199A290534656E89F_13</vt:lpwstr>
  </property>
</Properties>
</file>